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78" w:rsidRPr="005124CB" w:rsidRDefault="00EF6478" w:rsidP="00EF647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Акционерное Общество «Цифровой Доктор»</w:t>
      </w:r>
      <w:r w:rsidR="009F2DD4" w:rsidRPr="005124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: </w:t>
      </w:r>
    </w:p>
    <w:p w:rsidR="009F2DD4" w:rsidRPr="005124CB" w:rsidRDefault="009F2DD4" w:rsidP="00EF647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Сервис Нового Уровня</w:t>
      </w:r>
    </w:p>
    <w:p w:rsidR="009F2DD4" w:rsidRPr="005124CB" w:rsidRDefault="009F2DD4" w:rsidP="00EF6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Бизнес: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Акционерное Общество “Цифровой Доктор” – современный сервисный центр, специализирующийся на комплексной диагностике, ремонте и обслуживании компьютерной техники, включая персональные компьютеры, ноутбуки, моноблоки, а также периферийные устройства и комплектующие. Наш ключевой приоритет – безупречное качество ремонта, оперативность обслуживания и полная прозрачность во всех взаимодействиях с клиентами. Мы ориентированы на 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работу,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с частными лицами, так и с корпоративными клиентами.</w:t>
      </w:r>
    </w:p>
    <w:p w:rsidR="009F2DD4" w:rsidRPr="005124CB" w:rsidRDefault="009F2DD4" w:rsidP="00EF6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9F2DD4" w:rsidRPr="005124CB" w:rsidRDefault="009F2DD4" w:rsidP="00EF647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Выбор организационно-правовой формы и обоснование.</w:t>
      </w:r>
    </w:p>
    <w:p w:rsidR="009F2DD4" w:rsidRPr="005124CB" w:rsidRDefault="009F2DD4" w:rsidP="00EF6478">
      <w:pPr>
        <w:numPr>
          <w:ilvl w:val="1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Наш выбор: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Акционерное Общество (АО).</w:t>
      </w:r>
    </w:p>
    <w:p w:rsidR="009F2DD4" w:rsidRPr="005124CB" w:rsidRDefault="009F2DD4" w:rsidP="00EF6478">
      <w:pPr>
        <w:numPr>
          <w:ilvl w:val="1"/>
          <w:numId w:val="2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Обоснование:</w:t>
      </w:r>
    </w:p>
    <w:p w:rsidR="009F2DD4" w:rsidRPr="005124CB" w:rsidRDefault="009F2DD4" w:rsidP="00EF6478">
      <w:pPr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Масштабируемость и привлечение инвестиций: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Создание АО открывает широкие возможности для привлечения внешних инвестиций путем выпуска акций. Это критически важно для </w:t>
      </w:r>
      <w:proofErr w:type="gramStart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амбициозных</w:t>
      </w:r>
      <w:proofErr w:type="gramEnd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планов по расширению сети сервисных центров, внедрению новых технологий и увеличению доли рынка.</w:t>
      </w:r>
    </w:p>
    <w:p w:rsidR="009F2DD4" w:rsidRPr="005124CB" w:rsidRDefault="009F2DD4" w:rsidP="00EF6478">
      <w:pPr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Профессиональное управление и распределение ответственности: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Структура АО предполагает четкое разделение функций между акционерами, советом директоров и исполнительным органом. Это обеспечивает более профессиональное и стратегическое управление бизнесом, </w:t>
      </w:r>
      <w:proofErr w:type="spellStart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минимизируя</w:t>
      </w:r>
      <w:proofErr w:type="spellEnd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риски, связанные с единоличными решениями.</w:t>
      </w:r>
    </w:p>
    <w:p w:rsidR="009F2DD4" w:rsidRPr="005124CB" w:rsidRDefault="009F2DD4" w:rsidP="00EF6478">
      <w:pPr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Повышение доверия и репутации: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Статус акционерного общества, особенно публичного, ассоциируется с более высоким уровнем надежности и прозрачности, что может быть важным при работе с крупными корпоративными клиентами и государственными структурами.</w:t>
      </w:r>
    </w:p>
    <w:p w:rsidR="009F2DD4" w:rsidRPr="005124CB" w:rsidRDefault="009F2DD4" w:rsidP="00EF6478">
      <w:pPr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Возможность дальнейшего роста и выхода на IPO: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Формирование АО является необходимым шагом для компаний, стремящихся к значительному росту, привлечению крупных инвестиций и, в перспективе, выходу на фондовый рынок (IPO).</w:t>
      </w:r>
    </w:p>
    <w:p w:rsidR="009F2DD4" w:rsidRPr="005124CB" w:rsidRDefault="009F2DD4" w:rsidP="00EF6478">
      <w:pPr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Оптимизация налогообложения (в перспективе):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Хотя на старте АО может быть связано с более сложным учетом, в долгосрочной перспективе оно предоставляет больше возможностей для налогового планирования, особенно при наличии нескольких направлений деятельности или при распределении прибыли.</w:t>
      </w:r>
    </w:p>
    <w:p w:rsidR="009F2DD4" w:rsidRPr="005124CB" w:rsidRDefault="009F2DD4" w:rsidP="00EF6478">
      <w:pPr>
        <w:numPr>
          <w:ilvl w:val="2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Привлечение квалифицированных кадров: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Статус АО и возможность опционов на акции могут стать мощным стимулом для привлечения и удержания высококвалифицированных специалистов.</w:t>
      </w:r>
    </w:p>
    <w:p w:rsidR="009F2DD4" w:rsidRPr="005124CB" w:rsidRDefault="009F2DD4" w:rsidP="00EF6478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действий по созданию Акционерного Общества.</w:t>
      </w:r>
    </w:p>
    <w:p w:rsidR="009F2DD4" w:rsidRPr="005124CB" w:rsidRDefault="009F2DD4" w:rsidP="00EF6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 1: Подготовка к регистрации</w:t>
      </w:r>
    </w:p>
    <w:p w:rsidR="009F2DD4" w:rsidRPr="005124CB" w:rsidRDefault="009F2DD4" w:rsidP="00EF6478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Определение учредителей и распределение долей: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Первоначальные учредители (физические или юридические лица) определяют свои доли в уставном капитале.</w:t>
      </w:r>
    </w:p>
    <w:p w:rsidR="009F2DD4" w:rsidRPr="005124CB" w:rsidRDefault="009F2DD4" w:rsidP="00EF6478">
      <w:pPr>
        <w:pStyle w:val="a5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Выбор видов деятельности (коды ОКВЭД):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код: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95.11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“Ремонт компьютеров и периферийного оборудования”.</w:t>
      </w:r>
    </w:p>
    <w:p w:rsidR="009F2DD4" w:rsidRPr="005124CB" w:rsidRDefault="009F2DD4" w:rsidP="00EF6478">
      <w:pPr>
        <w:pStyle w:val="a5"/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Определение размера уставного капитала: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Минимальный размер уставного капитала для АО установлен законом (на данный момент 100 000 рублей). Определяется фактический стартовый капитал.</w:t>
      </w:r>
    </w:p>
    <w:p w:rsidR="009F2DD4" w:rsidRPr="005124CB" w:rsidRDefault="009F2DD4" w:rsidP="00EF6478">
      <w:pPr>
        <w:pStyle w:val="a5"/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Разработка Устава Общества: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Документ, регулирующий деятельность АО, права и обязанности акционеров, порядок управления. Важно проработать с юристами.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Решение о создан</w:t>
      </w:r>
      <w:proofErr w:type="gramStart"/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ии АО</w:t>
      </w:r>
      <w:proofErr w:type="gramEnd"/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Протокол общего собрания учредителей о создании общества, утверждении устава, назначении органов управления.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Выбор системы налогообложения: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старте, вероятно, будет применена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Общая система налогообложения (ОСНО)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дальнейшем возможен переход на упрощенную систему, если деятельность будет соответствовать критериям. ОСНО для АО более </w:t>
      </w:r>
      <w:proofErr w:type="gramStart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сложна</w:t>
      </w:r>
      <w:proofErr w:type="gramEnd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учете, но может быть выгоднее при значительных расходах.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Выбор наименования Общества: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Уникальное и соответствующее требованиям законодательства.</w:t>
      </w:r>
    </w:p>
    <w:p w:rsidR="009F2DD4" w:rsidRPr="005124CB" w:rsidRDefault="009F2DD4" w:rsidP="00EF6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 2: Государственная регистрация АО</w:t>
      </w:r>
    </w:p>
    <w:p w:rsidR="009F2DD4" w:rsidRPr="005124CB" w:rsidRDefault="009F2DD4" w:rsidP="00EF6478">
      <w:pPr>
        <w:pStyle w:val="a5"/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документов: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о государственной регистрации юридического лица при создании (форма № Р11001).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о создании юридического лица (протокол общего собрания учредителей).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 Общества (в двух экземплярах).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Квитанция об уплате государственной пошлины (на момент написания 4 000 рублей).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подтверждающие оплату не менее чем половины уставного капитала (если это предусмотрено).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Подача документов в регистрирующий орган (ФНС):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 в ИФНС по месту нахождения исполнительного органа.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представителя по нотариально удостоверенной доверенности.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интернет (при наличии электронной подписи).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почте (ценным письмом с описью вложения).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Получение документов о регистрации: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Через 3 рабочих дня после подачи документов ФНС выдает лист записи ЕГРЮЛ, зарегистрированный устав.</w:t>
      </w:r>
    </w:p>
    <w:p w:rsidR="009F2DD4" w:rsidRPr="005124CB" w:rsidRDefault="009F2DD4" w:rsidP="00EF6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 3: Действия после регистрации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Получение подтверждающих документов: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Лист записи ЕГРЮЛ, зарегистрированный устав.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Изготовление печати Общества: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Обязательно для АО.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Открытие расчетного счета: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(Подробнее в п.3).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Регистрация в фондах: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ПФР, ФСС.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Выпуск акций и регистрация отчета об итогах выпуска: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обязательный этап для АО. Отчет подается в Центральный банк РФ.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Назначение исполнительного органа: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Генеральный директор.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Закупка оборудования и инструментов: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Приобрести необходимые инструменты для ремонта.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Организация рабочего пространства: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Аренда или обустройство помещения.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Начало деятельности: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Прием заказов, формирование клиентской базы.</w:t>
      </w:r>
    </w:p>
    <w:p w:rsidR="009F2DD4" w:rsidRPr="005124CB" w:rsidRDefault="009F2DD4" w:rsidP="00EF6478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Процесс открытия расчетного счета в банке для вашего Акционерного Общества.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Выбор банка: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Ищем банк с выгодными тарифами на РКО для юридических лиц, </w:t>
      </w:r>
      <w:proofErr w:type="gramStart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удобным</w:t>
      </w:r>
      <w:proofErr w:type="gramEnd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интернет-банкингом, возможностью интеграции с бухгалтерскими программами. Для АО, с потенциально большим количеством транзакций, важна надежность банка и скорость проведения операций.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Обращаем внимание на банки, предлагающие пакеты услуг для бизнеса.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необходимых документов: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на открытие расчетного счета.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 Общества.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о создании юридического лица (протокол).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 о назначении генерального директора.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удостоверяющие личность генерального директора и лиц, имеющих право подписи (паспорт, ИНН).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Карточка с образцами подписей и оттиском печати.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 записи ЕГРЮЛ.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Свидетельство о постановке на учет в налоговом органе.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Обращение в банк: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Онлайн: Заполнение заявки на сайте банка, прикрепление сканов документов.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Лично: Посещение отделения банка с полным пакетом документов.</w:t>
      </w:r>
    </w:p>
    <w:p w:rsidR="009F2DD4" w:rsidRPr="005124CB" w:rsidRDefault="009F2DD4" w:rsidP="00EF6478">
      <w:pPr>
        <w:numPr>
          <w:ilvl w:val="1"/>
          <w:numId w:val="2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Предоставление документов и подписание договора: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Представить сотруднику банка все запрашиваемые документы.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ознакомиться с договором банковского счета, тарифами, условиями интернет-банкинга.</w:t>
      </w:r>
    </w:p>
    <w:p w:rsidR="009F2DD4" w:rsidRPr="005124CB" w:rsidRDefault="009F2DD4" w:rsidP="00EF6478">
      <w:pPr>
        <w:numPr>
          <w:ilvl w:val="2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Подписать договор.</w:t>
      </w:r>
    </w:p>
    <w:p w:rsidR="009F2DD4" w:rsidRPr="005124CB" w:rsidRDefault="009F2DD4" w:rsidP="00EF6478">
      <w:pPr>
        <w:pStyle w:val="a5"/>
        <w:numPr>
          <w:ilvl w:val="1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Получение реквизитов счета: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После успешного оформления вы получите полные реквизиты вашего расчетного счета и доступ к интернет-банкингу.</w:t>
      </w:r>
    </w:p>
    <w:p w:rsidR="009F2DD4" w:rsidRPr="005124CB" w:rsidRDefault="009F2DD4" w:rsidP="00EF6478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Ситуация: Утерян один из необходимых документов для регистрации.</w:t>
      </w:r>
    </w:p>
    <w:p w:rsidR="009F2DD4" w:rsidRPr="005124CB" w:rsidRDefault="009F2DD4" w:rsidP="00EF6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Предположим, что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утеряно Решение о создании юридического лица (протокол общего собрания учредителей)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F6478" w:rsidRPr="005124CB" w:rsidRDefault="009F2DD4" w:rsidP="00EF6478">
      <w:pPr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я поступлю: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6478" w:rsidRPr="005124CB" w:rsidRDefault="009F2DD4" w:rsidP="00EF6478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Поиск: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Тщательный поиск всех возможных мест хранения. </w:t>
      </w:r>
    </w:p>
    <w:p w:rsidR="00EF6478" w:rsidRPr="005124CB" w:rsidRDefault="009F2DD4" w:rsidP="00EF6478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Связь с регистрирующим органом (ФНС):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Сообщить о потере. </w:t>
      </w:r>
    </w:p>
    <w:p w:rsidR="00EF6478" w:rsidRPr="005124CB" w:rsidRDefault="009F2DD4" w:rsidP="00EF6478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Восстановление документа: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6478" w:rsidRPr="005124CB" w:rsidRDefault="009F2DD4" w:rsidP="00EF6478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учредители сохранились: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Организовать новое общее собрание учредителей и принять решение о создании Общества заново. </w:t>
      </w:r>
      <w:bookmarkStart w:id="0" w:name="_GoBack"/>
      <w:bookmarkEnd w:id="0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Составить новый протокол. </w:t>
      </w:r>
    </w:p>
    <w:p w:rsidR="00EF6478" w:rsidRPr="005124CB" w:rsidRDefault="009F2DD4" w:rsidP="00EF6478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учредители не сохранились: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Это более сложная ситуация. Возможно, потребуется обращаться в суд для установления факта создания Общества. </w:t>
      </w:r>
    </w:p>
    <w:p w:rsidR="00EF6478" w:rsidRPr="005124CB" w:rsidRDefault="009F2DD4" w:rsidP="00EF6478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есть нотариально заверенная копия: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Это значительно упростит процесс. Можно будет восстановить документ на основании этой копии. </w:t>
      </w:r>
    </w:p>
    <w:p w:rsidR="00EF6478" w:rsidRPr="005124CB" w:rsidRDefault="009F2DD4" w:rsidP="00EF6478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Подача документов на регистрацию: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Если документ утрачен до регистрации, то будет необходимо предоставить восстановленный или заново принятый протокол. Есл</w:t>
      </w:r>
      <w:proofErr w:type="gramStart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АО у</w:t>
      </w:r>
      <w:proofErr w:type="gramEnd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 зарегистрировано, то для других действий (например, открытия счета) потребуется либо нотариально заверенная копия, либо запрос в ФНС о предоставлении сведений из ЕГРЮЛ. </w:t>
      </w:r>
    </w:p>
    <w:p w:rsidR="00EF6478" w:rsidRPr="005124CB" w:rsidRDefault="009F2DD4" w:rsidP="00EF6478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Корректировка плана: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Внести коррективы в свой план, учитывая время, необходимое для восстановления документа. </w:t>
      </w:r>
    </w:p>
    <w:p w:rsidR="009F2DD4" w:rsidRPr="005124CB" w:rsidRDefault="009F2DD4" w:rsidP="00EF6478">
      <w:pPr>
        <w:numPr>
          <w:ilvl w:val="1"/>
          <w:numId w:val="27"/>
        </w:numPr>
        <w:shd w:val="clear" w:color="auto" w:fill="FFFFFF"/>
        <w:tabs>
          <w:tab w:val="clear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Предосторожность: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Создать отдельную папку для юридически значимых документов, хранить их в надежном месте, сделать несколько нотариально заверенных копий и цифровых копий.</w:t>
      </w:r>
    </w:p>
    <w:p w:rsidR="009F2DD4" w:rsidRPr="005124CB" w:rsidRDefault="009F2DD4" w:rsidP="00EF6478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Ситуация: Важное изменение в законодательстве, влияющее на предпринимательскую деятельность.</w:t>
      </w:r>
    </w:p>
    <w:p w:rsidR="009F2DD4" w:rsidRPr="005124CB" w:rsidRDefault="009F2DD4" w:rsidP="00EF64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Предположим, что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введены новые, более строгие требования к защите персональных данных клиентов (согласно ФЗ-152) и к уплате налогов с дивидендов, выплачиваемых акционерам.</w:t>
      </w:r>
    </w:p>
    <w:p w:rsidR="00EF6478" w:rsidRPr="005124CB" w:rsidRDefault="009F2DD4" w:rsidP="00EF6478">
      <w:pPr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я отреагирую и какие действия предприму: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6478" w:rsidRPr="005124CB" w:rsidRDefault="009F2DD4" w:rsidP="00EF6478">
      <w:pPr>
        <w:numPr>
          <w:ilvl w:val="1"/>
          <w:numId w:val="26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Информирование: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Отслеживание новостей: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Активно следить за законодательными изменениями, подписываясь на рассылки от ФНС, </w:t>
      </w:r>
      <w:proofErr w:type="spellStart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Роскомнадзора</w:t>
      </w:r>
      <w:proofErr w:type="spellEnd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профильных юридических и бухгалтерских ресурсов. </w:t>
      </w:r>
    </w:p>
    <w:p w:rsidR="00EF6478" w:rsidRPr="005124CB" w:rsidRDefault="009F2DD4" w:rsidP="00EF6478">
      <w:pPr>
        <w:numPr>
          <w:ilvl w:val="1"/>
          <w:numId w:val="26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Консультации: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Немедленно обратиться к юристам, специализирующимся на защите персональных данных, и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налоговым консультантам. </w:t>
      </w:r>
    </w:p>
    <w:p w:rsidR="00EF6478" w:rsidRPr="005124CB" w:rsidRDefault="009F2DD4" w:rsidP="00EF6478">
      <w:pPr>
        <w:numPr>
          <w:ilvl w:val="1"/>
          <w:numId w:val="26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Анализ влияния: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Защита персональных данных: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Изучить, какие именно категории данных мы собираем, как они хранятся, кто имеет к ним доступ. Оценить необходимость пересмотра политики конфиденциальности, форм согласия на обработку персональных данных, а также про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цессов их хранения и удаления.</w:t>
      </w:r>
    </w:p>
    <w:p w:rsidR="00EF6478" w:rsidRPr="005124CB" w:rsidRDefault="009F2DD4" w:rsidP="00EF6478">
      <w:pPr>
        <w:numPr>
          <w:ilvl w:val="1"/>
          <w:numId w:val="26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Налогообложение дивидендов: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Проанализировать, как новое правило повлияет на финансовую модель распределения прибыли акционерам. Оценить возможные налоговые последствия для компании и для самих акционеров. </w:t>
      </w:r>
    </w:p>
    <w:p w:rsidR="00EF6478" w:rsidRPr="005124CB" w:rsidRDefault="009F2DD4" w:rsidP="00EF6478">
      <w:pPr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Принятие мер:</w:t>
      </w:r>
    </w:p>
    <w:p w:rsidR="00EF6478" w:rsidRPr="005124CB" w:rsidRDefault="009F2DD4" w:rsidP="00EF6478">
      <w:pPr>
        <w:numPr>
          <w:ilvl w:val="1"/>
          <w:numId w:val="2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Защита персональных данных: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Внутренний аудит: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Провести полный аудит всех процессов, связанных с об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работкой персональных данных. </w:t>
      </w:r>
    </w:p>
    <w:p w:rsidR="00EF6478" w:rsidRPr="005124CB" w:rsidRDefault="009F2DD4" w:rsidP="00EF6478">
      <w:pPr>
        <w:numPr>
          <w:ilvl w:val="1"/>
          <w:numId w:val="2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Обновление документов: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Пересмотреть и обновить Политику конфиденциальности, пользовательски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соглашения, формы согласий. </w:t>
      </w:r>
    </w:p>
    <w:p w:rsidR="00EF6478" w:rsidRPr="005124CB" w:rsidRDefault="009F2DD4" w:rsidP="00EF6478">
      <w:pPr>
        <w:numPr>
          <w:ilvl w:val="1"/>
          <w:numId w:val="2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Технические меры: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Внедрить или усилить технические меры защиты данных (шифрование, контроль доступа, резервное копирование).</w:t>
      </w:r>
    </w:p>
    <w:p w:rsidR="00EF6478" w:rsidRPr="005124CB" w:rsidRDefault="00EF6478" w:rsidP="00EF6478">
      <w:pPr>
        <w:numPr>
          <w:ilvl w:val="1"/>
          <w:numId w:val="2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F2DD4"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Обучение персонала:</w:t>
      </w:r>
      <w:r w:rsidR="009F2DD4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Провести обязательное </w:t>
      </w:r>
      <w:proofErr w:type="gramStart"/>
      <w:r w:rsidR="009F2DD4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всего персонала по вопросам</w:t>
      </w:r>
      <w:proofErr w:type="gramEnd"/>
      <w:r w:rsidR="009F2DD4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обработки персональных данных. </w:t>
      </w:r>
    </w:p>
    <w:p w:rsidR="00EF6478" w:rsidRPr="005124CB" w:rsidRDefault="009F2DD4" w:rsidP="00EF6478">
      <w:pPr>
        <w:numPr>
          <w:ilvl w:val="1"/>
          <w:numId w:val="2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Назначение </w:t>
      </w:r>
      <w:proofErr w:type="gramStart"/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ответственного</w:t>
      </w:r>
      <w:proofErr w:type="gramEnd"/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Назначить ответственного сотрудника за организацию обработки персональных данных. </w:t>
      </w:r>
    </w:p>
    <w:p w:rsidR="00EF6478" w:rsidRPr="005124CB" w:rsidRDefault="009F2DD4" w:rsidP="00EF6478">
      <w:pPr>
        <w:numPr>
          <w:ilvl w:val="1"/>
          <w:numId w:val="2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Налогообложение дивидендов: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F6478" w:rsidRPr="005124CB" w:rsidRDefault="009F2DD4" w:rsidP="00EF6478">
      <w:pPr>
        <w:numPr>
          <w:ilvl w:val="1"/>
          <w:numId w:val="2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Финансовое планирование: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Пересмотреть стратегию распределения прибыли, возможно, временно приостановить выплату дивидендо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или пересмотреть их размер. </w:t>
      </w:r>
    </w:p>
    <w:p w:rsidR="00EF6478" w:rsidRPr="005124CB" w:rsidRDefault="009F2DD4" w:rsidP="00EF6478">
      <w:pPr>
        <w:numPr>
          <w:ilvl w:val="1"/>
          <w:numId w:val="2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Консультации с акционерами: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Обсудить с акционерами новые налоговые правила и их влияние на их личные доходы.</w:t>
      </w:r>
    </w:p>
    <w:p w:rsidR="00EF6478" w:rsidRPr="005124CB" w:rsidRDefault="009F2DD4" w:rsidP="00EF6478">
      <w:pPr>
        <w:numPr>
          <w:ilvl w:val="1"/>
          <w:numId w:val="25"/>
        </w:numPr>
        <w:shd w:val="clear" w:color="auto" w:fill="FFFFFF"/>
        <w:tabs>
          <w:tab w:val="clear" w:pos="144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Бухгалтерский учет: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Обеспечить корректное отражение налогов с дивидендов в бухгалтерском учете. </w:t>
      </w:r>
    </w:p>
    <w:p w:rsidR="00EF6478" w:rsidRPr="005124CB" w:rsidRDefault="009F2DD4" w:rsidP="00EF6478">
      <w:pPr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Внесение изменений в бизнес-процессы: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Интегрировать новые требования в ежедневные операционные процессы компании, чтобы и</w:t>
      </w:r>
      <w:r w:rsidR="00EF6478"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збежать нарушений и штрафов. </w:t>
      </w:r>
    </w:p>
    <w:p w:rsidR="003E7A83" w:rsidRPr="005124CB" w:rsidRDefault="009F2DD4" w:rsidP="00EF6478">
      <w:pPr>
        <w:numPr>
          <w:ilvl w:val="1"/>
          <w:numId w:val="2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24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Взаимодействие с контролирующими органами:</w:t>
      </w:r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При возникновении вопросов, обращаться за разъяснениями в </w:t>
      </w:r>
      <w:proofErr w:type="spellStart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Роскомнадзор</w:t>
      </w:r>
      <w:proofErr w:type="spellEnd"/>
      <w:r w:rsidRPr="005124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ФНС.</w:t>
      </w:r>
    </w:p>
    <w:sectPr w:rsidR="003E7A83" w:rsidRPr="00512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944"/>
    <w:multiLevelType w:val="multilevel"/>
    <w:tmpl w:val="4C2E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D3C67"/>
    <w:multiLevelType w:val="multilevel"/>
    <w:tmpl w:val="19B2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F06B0"/>
    <w:multiLevelType w:val="multilevel"/>
    <w:tmpl w:val="8894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335DF"/>
    <w:multiLevelType w:val="multilevel"/>
    <w:tmpl w:val="E126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91418"/>
    <w:multiLevelType w:val="multilevel"/>
    <w:tmpl w:val="1088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E14F4"/>
    <w:multiLevelType w:val="multilevel"/>
    <w:tmpl w:val="0918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973F0"/>
    <w:multiLevelType w:val="multilevel"/>
    <w:tmpl w:val="1E20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548D9"/>
    <w:multiLevelType w:val="multilevel"/>
    <w:tmpl w:val="C5B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CC1B25"/>
    <w:multiLevelType w:val="multilevel"/>
    <w:tmpl w:val="3852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5866D1"/>
    <w:multiLevelType w:val="multilevel"/>
    <w:tmpl w:val="5D9E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DE6AC5"/>
    <w:multiLevelType w:val="multilevel"/>
    <w:tmpl w:val="8562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7B3682"/>
    <w:multiLevelType w:val="multilevel"/>
    <w:tmpl w:val="CDA0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0B160E"/>
    <w:multiLevelType w:val="multilevel"/>
    <w:tmpl w:val="97EC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5608B8"/>
    <w:multiLevelType w:val="multilevel"/>
    <w:tmpl w:val="51F2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BD0300"/>
    <w:multiLevelType w:val="multilevel"/>
    <w:tmpl w:val="C53E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615FDC"/>
    <w:multiLevelType w:val="multilevel"/>
    <w:tmpl w:val="A11C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0E2BDD"/>
    <w:multiLevelType w:val="multilevel"/>
    <w:tmpl w:val="DFA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456816"/>
    <w:multiLevelType w:val="multilevel"/>
    <w:tmpl w:val="B1C4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735A72"/>
    <w:multiLevelType w:val="multilevel"/>
    <w:tmpl w:val="35DC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D44C86"/>
    <w:multiLevelType w:val="multilevel"/>
    <w:tmpl w:val="D7DA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6C445F"/>
    <w:multiLevelType w:val="multilevel"/>
    <w:tmpl w:val="785A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4C5B6E"/>
    <w:multiLevelType w:val="multilevel"/>
    <w:tmpl w:val="CE40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826C9F"/>
    <w:multiLevelType w:val="multilevel"/>
    <w:tmpl w:val="A9E4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0916DC"/>
    <w:multiLevelType w:val="multilevel"/>
    <w:tmpl w:val="4FF8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4C0271"/>
    <w:multiLevelType w:val="multilevel"/>
    <w:tmpl w:val="CFF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2"/>
  </w:num>
  <w:num w:numId="5">
    <w:abstractNumId w:val="6"/>
  </w:num>
  <w:num w:numId="6">
    <w:abstractNumId w:val="20"/>
  </w:num>
  <w:num w:numId="7">
    <w:abstractNumId w:val="24"/>
  </w:num>
  <w:num w:numId="8">
    <w:abstractNumId w:val="7"/>
  </w:num>
  <w:num w:numId="9">
    <w:abstractNumId w:val="5"/>
  </w:num>
  <w:num w:numId="10">
    <w:abstractNumId w:val="16"/>
  </w:num>
  <w:num w:numId="11">
    <w:abstractNumId w:val="19"/>
  </w:num>
  <w:num w:numId="12">
    <w:abstractNumId w:val="11"/>
  </w:num>
  <w:num w:numId="13">
    <w:abstractNumId w:val="13"/>
  </w:num>
  <w:num w:numId="14">
    <w:abstractNumId w:val="8"/>
  </w:num>
  <w:num w:numId="15">
    <w:abstractNumId w:val="18"/>
  </w:num>
  <w:num w:numId="16">
    <w:abstractNumId w:val="9"/>
  </w:num>
  <w:num w:numId="17">
    <w:abstractNumId w:val="17"/>
  </w:num>
  <w:num w:numId="18">
    <w:abstractNumId w:val="10"/>
  </w:num>
  <w:num w:numId="19">
    <w:abstractNumId w:val="0"/>
  </w:num>
  <w:num w:numId="20">
    <w:abstractNumId w:val="1"/>
  </w:num>
  <w:num w:numId="21">
    <w:abstractNumId w:val="15"/>
  </w:num>
  <w:num w:numId="22">
    <w:abstractNumId w:val="14"/>
  </w:num>
  <w:num w:numId="2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start w:val="1"/>
        <w:numFmt w:val="decimal"/>
        <w:lvlText w:val="%2."/>
        <w:lvlJc w:val="left"/>
        <w:rPr>
          <w:rFonts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4">
    <w:abstractNumId w:val="14"/>
    <w:lvlOverride w:ilvl="1">
      <w:lvl w:ilvl="1">
        <w:numFmt w:val="bullet"/>
        <w:lvlText w:val="o"/>
        <w:lvlJc w:val="righ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2"/>
  </w:num>
  <w:num w:numId="26">
    <w:abstractNumId w:val="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08"/>
    <w:rsid w:val="003E7A83"/>
    <w:rsid w:val="005124CB"/>
    <w:rsid w:val="00960239"/>
    <w:rsid w:val="009F2DD4"/>
    <w:rsid w:val="00A01308"/>
    <w:rsid w:val="00EF6478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2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23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F2D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EF6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2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23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F2D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EF6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156</dc:creator>
  <cp:keywords/>
  <dc:description/>
  <cp:lastModifiedBy>Самородок Кабинет 302</cp:lastModifiedBy>
  <cp:revision>7</cp:revision>
  <dcterms:created xsi:type="dcterms:W3CDTF">2025-11-07T09:07:00Z</dcterms:created>
  <dcterms:modified xsi:type="dcterms:W3CDTF">2025-11-17T08:54:00Z</dcterms:modified>
</cp:coreProperties>
</file>